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16" w:rsidRDefault="005D0516" w:rsidP="005D0516">
      <w:pPr>
        <w:jc w:val="both"/>
        <w:rPr>
          <w:rFonts w:ascii="Garamond" w:hAnsi="Garamond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5D0516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5D0516" w:rsidRPr="0056181D" w:rsidRDefault="005D0516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16" w:rsidRPr="0056181D" w:rsidTr="007B2E63">
        <w:trPr>
          <w:cantSplit/>
          <w:trHeight w:hRule="exact" w:val="5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5D0516" w:rsidRPr="0056181D" w:rsidRDefault="005D0516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5D0516" w:rsidRPr="0056181D" w:rsidRDefault="005D0516" w:rsidP="007B2E63">
            <w:pPr>
              <w:jc w:val="both"/>
              <w:rPr>
                <w:rFonts w:ascii="Garamond" w:hAnsi="Garamond"/>
              </w:rPr>
            </w:pPr>
            <w:r w:rsidRPr="0056181D">
              <w:rPr>
                <w:rFonts w:ascii="Garamond" w:hAnsi="Garamond"/>
              </w:rPr>
              <w:t>A következő könyvekben az időutazás után is olvashatsz Mátyás királyról. Melyik könyvekre melyik megállapítások érvényesek? Írd a címek után a megállapítások betűjelét!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03"/>
              <w:gridCol w:w="3203"/>
            </w:tblGrid>
            <w:tr w:rsidR="005D0516" w:rsidRPr="0056181D" w:rsidTr="007B2E63">
              <w:trPr>
                <w:trHeight w:val="247"/>
                <w:jc w:val="center"/>
              </w:trPr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</w:rPr>
                  </w:pPr>
                  <w:r w:rsidRPr="0056181D">
                    <w:rPr>
                      <w:rFonts w:ascii="Garamond" w:hAnsi="Garamond"/>
                      <w:bCs/>
                      <w:i/>
                      <w:iCs/>
                    </w:rPr>
                    <w:t>A könyv címe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</w:rPr>
                  </w:pPr>
                  <w:r w:rsidRPr="0056181D">
                    <w:rPr>
                      <w:rFonts w:ascii="Garamond" w:hAnsi="Garamond"/>
                      <w:bCs/>
                      <w:i/>
                      <w:iCs/>
                    </w:rPr>
                    <w:t>Jellemzőinek betűjele</w:t>
                  </w:r>
                </w:p>
              </w:tc>
            </w:tr>
            <w:tr w:rsidR="005D0516" w:rsidRPr="0056181D" w:rsidTr="007B2E63">
              <w:trPr>
                <w:trHeight w:val="247"/>
                <w:jc w:val="center"/>
              </w:trPr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Új magyar életrajzi lexikon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gramStart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a</w:t>
                  </w:r>
                  <w:proofErr w:type="gramEnd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, b, e</w:t>
                  </w:r>
                </w:p>
              </w:tc>
            </w:tr>
            <w:tr w:rsidR="005D0516" w:rsidRPr="0056181D" w:rsidTr="007B2E63">
              <w:trPr>
                <w:trHeight w:val="260"/>
                <w:jc w:val="center"/>
              </w:trPr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A magyarok krónikája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gramStart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a</w:t>
                  </w:r>
                  <w:proofErr w:type="gramEnd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, c, d</w:t>
                  </w:r>
                </w:p>
              </w:tc>
            </w:tr>
            <w:tr w:rsidR="005D0516" w:rsidRPr="0056181D" w:rsidTr="007B2E63">
              <w:trPr>
                <w:trHeight w:val="260"/>
                <w:jc w:val="center"/>
              </w:trPr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Új magyar irodalmi lexikon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b, e</w:t>
                  </w:r>
                </w:p>
              </w:tc>
            </w:tr>
            <w:tr w:rsidR="005D0516" w:rsidRPr="0056181D" w:rsidTr="007B2E63">
              <w:trPr>
                <w:trHeight w:val="260"/>
                <w:jc w:val="center"/>
              </w:trPr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Duna-kanyar. Útikönyv</w:t>
                  </w:r>
                </w:p>
              </w:tc>
              <w:tc>
                <w:tcPr>
                  <w:tcW w:w="3203" w:type="dxa"/>
                  <w:shd w:val="clear" w:color="auto" w:fill="auto"/>
                </w:tcPr>
                <w:p w:rsidR="005D0516" w:rsidRPr="0056181D" w:rsidRDefault="005D0516" w:rsidP="007B2E63">
                  <w:pPr>
                    <w:jc w:val="center"/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</w:pPr>
                  <w:proofErr w:type="gramStart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a</w:t>
                  </w:r>
                  <w:proofErr w:type="gramEnd"/>
                  <w:r w:rsidRPr="0056181D">
                    <w:rPr>
                      <w:rFonts w:ascii="Garamond" w:hAnsi="Garamond"/>
                      <w:b/>
                      <w:i/>
                      <w:iCs/>
                      <w:color w:val="008000"/>
                    </w:rPr>
                    <w:t>, c</w:t>
                  </w:r>
                </w:p>
              </w:tc>
            </w:tr>
          </w:tbl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a/ illusztrált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b/ kettőnél több kötetből áll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c/ tartalomjegyzéke van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d/ személynévmutatót tartalmaz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e/ címszavai betűrendben követik egymást</w:t>
            </w:r>
          </w:p>
          <w:p w:rsidR="005D0516" w:rsidRPr="0056181D" w:rsidRDefault="005D0516" w:rsidP="007B2E63">
            <w:pPr>
              <w:rPr>
                <w:rFonts w:ascii="Garamond" w:hAnsi="Garamond"/>
                <w:bCs/>
              </w:rPr>
            </w:pPr>
          </w:p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Minden kézikönyvre adott teljesen helyes válasz 5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ér.</w:t>
            </w:r>
          </w:p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Ha valami hiányzik, akkor le kell vonni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.</w:t>
            </w:r>
          </w:p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Ha valamit helytelenül írt be a tanuló, azért is le kell vonni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0516" w:rsidRPr="0056181D" w:rsidRDefault="005D0516" w:rsidP="007B2E63">
            <w:pPr>
              <w:rPr>
                <w:rFonts w:ascii="Garamond" w:hAnsi="Garamond"/>
                <w:b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D0516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16" w:rsidRPr="0056181D" w:rsidRDefault="005D0516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D0516" w:rsidRPr="00950C2D" w:rsidRDefault="005D0516" w:rsidP="005D0516">
      <w:pPr>
        <w:jc w:val="both"/>
        <w:rPr>
          <w:rFonts w:ascii="Garamond" w:hAnsi="Garamond"/>
          <w:sz w:val="16"/>
          <w:szCs w:val="16"/>
        </w:rPr>
      </w:pPr>
    </w:p>
    <w:p w:rsidR="005E61C3" w:rsidRDefault="00E16108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08" w:rsidRDefault="00E16108" w:rsidP="005D0516">
      <w:r>
        <w:separator/>
      </w:r>
    </w:p>
  </w:endnote>
  <w:endnote w:type="continuationSeparator" w:id="0">
    <w:p w:rsidR="00E16108" w:rsidRDefault="00E16108" w:rsidP="005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Default="005D051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Pr="00850CAD" w:rsidRDefault="005D0516" w:rsidP="005D051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D0516" w:rsidRPr="00850CAD" w:rsidRDefault="005D0516" w:rsidP="005D051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D0516" w:rsidRPr="005D0516" w:rsidRDefault="005D0516" w:rsidP="005D0516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Default="005D05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08" w:rsidRDefault="00E16108" w:rsidP="005D0516">
      <w:r>
        <w:separator/>
      </w:r>
    </w:p>
  </w:footnote>
  <w:footnote w:type="continuationSeparator" w:id="0">
    <w:p w:rsidR="00E16108" w:rsidRDefault="00E16108" w:rsidP="005D0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Default="005D051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Default="005D051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16" w:rsidRDefault="005D05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6"/>
    <w:rsid w:val="005D0516"/>
    <w:rsid w:val="00906B61"/>
    <w:rsid w:val="00D719D5"/>
    <w:rsid w:val="00E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A06-C391-4C10-B14B-B10E296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05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5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05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51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2017-07-27T07:40:00Z</dcterms:created>
  <dcterms:modified xsi:type="dcterms:W3CDTF">2017-07-27T07:41:00Z</dcterms:modified>
</cp:coreProperties>
</file>